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CLASSI QUINTE</w:t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LICEI SCIENTIFICO E LINGUISTICO 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NUCLEI FONDANTI</w:t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ESAMI IDONEITÀ E INTEGRATIVI</w:t>
      </w:r>
    </w:p>
    <w:p w:rsidR="00000000" w:rsidDel="00000000" w:rsidP="00000000" w:rsidRDefault="00000000" w:rsidRPr="00000000" w14:paraId="00000008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COMPETENZE DISCIPLINARI NUCLEI FONDANTI   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Uso della lingua nelle quattro abilità riconducibile al livello B2 del Quadro Comune Europeo di Riferimento per le lingue: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- comprendere testi orali e scritti inerenti a tematiche di interesse sia personale sia scolastico (ambiti sociale, letterario, artistico);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- produrre testi orali e scritti per riferire fatti, descrivere situazioni, argomentare e sostenere opinioni;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- interagire nella lingua straniera in maniera adeguata sia agli interlocutori sia al contesto;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- analizzare ed interpretare gli aspetti relativi alla cultura dei paesi in cui si parla la lingua, con attenzione alle tematiche comuni a più discipline.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- saper riflettere sul sistema e sugli usi linguistici, nonché sui fenomeni culturali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- essere consapevoli di analogie e differenze culturali sia nel contatto con culture altre sia all’interno della propria.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- comprendere e rielaborare, nella lingua straniera, contenuti di discipline non linguistiche (CLIL)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CONTENUTI DISCIPLINARI NUCLEI FONDANTI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Nuclei Fondanti Pluridisciplinari: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Il Romanticismo; Età Vittoriana; Il Modernismo, post-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Modernismo e la crisi del soggetto.</w:t>
      </w:r>
    </w:p>
    <w:p w:rsidR="00000000" w:rsidDel="00000000" w:rsidP="00000000" w:rsidRDefault="00000000" w:rsidRPr="00000000" w14:paraId="0000001B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Nuclei Fondanti della disciplina: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1.</w:t>
      </w:r>
      <w:r w:rsidDel="00000000" w:rsidR="00000000" w:rsidRPr="00000000">
        <w:rPr>
          <w:rtl w:val="0"/>
        </w:rPr>
        <w:t xml:space="preserve"> Pre- Romanticismo e Romanticismo, in poesia e in prosa (Blake, M. Shelley, Wordsworth, Coleridge,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Austen) di cui un brano a scelta  per ciascun autore;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2. L’età Vittoriana: Dickens, Stevenson, Wilde di cui un brano a scelta per ciascun autore;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3. Modernismo: Joyce, Woolf, Orwell, una o più voci poetiche moderne: Owen, Auden o T.S. Eliot di cui un brano a scelta per ciascun autore;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4. Teatro dell’assurdo: Beckett, di cui un brano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a scelta;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5. Almeno un autore americano o post coloniale moderno, di cui un brano a scelta per l’autore selezionato;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La scelta di autori e analisi di testi terrà conto anche degli interessi degli alunni e dei possibili percorsi interdisciplinari.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